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AA44B9">
        <w:trPr>
          <w:trHeight w:val="270"/>
          <w:hidden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CB60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 </w:t>
            </w:r>
            <w:r w:rsidRPr="00E975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</w:tr>
      <w:tr w:rsidR="00AA44B9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AA44B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CB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5DC">
              <w:rPr>
                <w:rFonts w:ascii="Times New Roman" w:eastAsia="Times New Roman" w:hAnsi="Times New Roman" w:cs="Times New Roman"/>
                <w:sz w:val="20"/>
                <w:szCs w:val="20"/>
              </w:rPr>
              <w:t>0503160</w:t>
            </w:r>
          </w:p>
        </w:tc>
      </w:tr>
      <w:tr w:rsidR="00AA44B9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CB60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75DC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CB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5DC">
              <w:rPr>
                <w:rFonts w:ascii="Times New Roman" w:eastAsia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A44B9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E975DC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5DC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</w:tr>
      <w:tr w:rsidR="00AA44B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AA44B9">
            <w:pPr>
              <w:rPr>
                <w:sz w:val="20"/>
                <w:szCs w:val="20"/>
              </w:rPr>
            </w:pPr>
          </w:p>
        </w:tc>
      </w:tr>
      <w:tr w:rsidR="00AA44B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E975DC" w:rsidP="00E975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5DC">
              <w:rPr>
                <w:rFonts w:ascii="Times New Roman" w:hAnsi="Times New Roman" w:cs="Times New Roman"/>
                <w:sz w:val="20"/>
                <w:szCs w:val="20"/>
              </w:rPr>
              <w:t>02295666</w:t>
            </w:r>
          </w:p>
        </w:tc>
      </w:tr>
      <w:tr w:rsidR="00AA44B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AA44B9">
            <w:pPr>
              <w:rPr>
                <w:sz w:val="20"/>
                <w:szCs w:val="20"/>
              </w:rPr>
            </w:pPr>
          </w:p>
        </w:tc>
      </w:tr>
      <w:tr w:rsidR="00AA44B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AA44B9">
            <w:pPr>
              <w:rPr>
                <w:sz w:val="20"/>
                <w:szCs w:val="20"/>
              </w:rPr>
            </w:pPr>
          </w:p>
        </w:tc>
      </w:tr>
      <w:tr w:rsidR="00AA44B9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CB606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 w:rsidRPr="00E975DC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 xml:space="preserve">Финансовое управление </w:t>
            </w:r>
            <w:proofErr w:type="spellStart"/>
            <w:r w:rsidRPr="00E975DC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Шумячского</w:t>
            </w:r>
            <w:proofErr w:type="spellEnd"/>
            <w:r w:rsidRPr="00E975DC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 xml:space="preserve"> района</w:t>
            </w:r>
            <w:r w:rsidRPr="00E975DC"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AA44B9" w:rsidRDefault="00CB60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CB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5DC">
              <w:rPr>
                <w:rFonts w:ascii="Times New Roman" w:eastAsia="Times New Roman" w:hAnsi="Times New Roman" w:cs="Times New Roman"/>
                <w:sz w:val="20"/>
                <w:szCs w:val="20"/>
              </w:rPr>
              <w:t>902</w:t>
            </w:r>
          </w:p>
        </w:tc>
      </w:tr>
      <w:tr w:rsidR="00AA44B9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AA44B9">
            <w:pPr>
              <w:rPr>
                <w:sz w:val="20"/>
                <w:szCs w:val="20"/>
              </w:rPr>
            </w:pPr>
          </w:p>
        </w:tc>
      </w:tr>
      <w:tr w:rsidR="00AA44B9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Собственный бюджет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AA44B9" w:rsidRDefault="00CB606C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CB606C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5DC">
              <w:rPr>
                <w:rFonts w:ascii="Times New Roman" w:eastAsia="Times New Roman" w:hAnsi="Times New Roman" w:cs="Times New Roman"/>
                <w:sz w:val="20"/>
                <w:szCs w:val="20"/>
              </w:rPr>
              <w:t>66656000</w:t>
            </w:r>
          </w:p>
        </w:tc>
      </w:tr>
      <w:tr w:rsidR="00AA44B9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</w:t>
            </w:r>
            <w:r w:rsidRPr="00E975D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AA44B9">
            <w:pPr>
              <w:rPr>
                <w:sz w:val="20"/>
                <w:szCs w:val="20"/>
              </w:rPr>
            </w:pPr>
          </w:p>
        </w:tc>
      </w:tr>
      <w:tr w:rsidR="00AA44B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CB606C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CB60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5DC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AA44B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</w:tr>
      <w:tr w:rsidR="00AA44B9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</w:tr>
    </w:tbl>
    <w:p w:rsidR="00AA44B9" w:rsidRDefault="00CB606C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I. Организационная структура субъекта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бюджетной отчетности.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Полное наименование: Финансовое управление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Смоленской области.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Сокращенное наименование: Финансовое управление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Юридический и фактический адреса: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216410, Смоленская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район, п. Шумячи, ул. Школьная, д.1.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 – 6720000510, КПП – 672001001, ОКПО – 02295666, ОГРН – 1026700836513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Организационно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правовая форма (ОКОПФ) – 75404 – муниципальное казенное учреждение.</w:t>
      </w:r>
    </w:p>
    <w:p w:rsidR="00AA44B9" w:rsidRDefault="00CB606C">
      <w:pPr>
        <w:spacing w:line="276" w:lineRule="auto"/>
        <w:ind w:firstLine="8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 главы главного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порядителя бюджетных средств – 902;</w:t>
      </w:r>
    </w:p>
    <w:p w:rsidR="00AA44B9" w:rsidRDefault="00CB606C">
      <w:pPr>
        <w:spacing w:line="276" w:lineRule="auto"/>
        <w:ind w:firstLine="8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Лицевой счет получателя бюджетных средств – 03902200020.</w:t>
      </w:r>
    </w:p>
    <w:p w:rsidR="00AA44B9" w:rsidRDefault="00CB606C">
      <w:pPr>
        <w:spacing w:line="276" w:lineRule="auto"/>
        <w:ind w:firstLine="8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 управление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Смоленской области (далее – Финансовое управление) является органом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Смоленской области, наделенным правами юридического лица, обеспечивающим проведение единой финансовой и бюджетной политики и осуществляющим общее руководство финансовыми ресурсами на территории мун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Смоленской области. Финансовое управление действует на основании Положения, утвержденного Решением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районного Совета депутатов № 4 от 26.02.2016 г. (в ред. Решений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районного Совета депутатов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79 от 30.11.2018 г., № 6 от 31.01.2019 г., № 47 от 31.08.2023 г.).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 управление в своей деятельности руководствуется Конституцией РФ, федеральными законами, указами и распоряжениями Правительства РФ, нормативными правовыми актами Министерства фина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нсов РФ и иных федеральных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органов исполнительной власти, областными законами, указами и распоряжениями Губернатора Смоленской области, постановлениями и распоряжениями Администрации Смоленской области,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Смоленской области, постановлениями и распоряжениями районных органов исполнительной и законодательной власти.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Распоряжением Главы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Смоленской области от 25.12.2012 г. утверждена структура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управления. Штатная численность сотрудников Финансового управления на 01.01.2025 г. составляет 12,5 штатных единиц, из них 10 единиц - муниципальные служащие, 2,5 единицы – технические служащие. Фактически замещено должностей на конец отчетного периода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10,5. Среднесписочная численность за 2024 год составила 10,1 человек.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полномочиями Финансового управления являются: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подготовка предложений по основным направлениям бюджетной и налоговой политики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оленской области на очередной финансовый год и плановый период;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осуществление методологического руководства по вопросам организации бюджетного процесса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Смоленской области;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осуществление методического руково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 в области бюджетного планирования, направленного на повышение эффективности и результативности бюджетных расходов;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организация составления и непосредственное составление проекта местного бюджета на очередной финансовый год и плановый период;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низация исполнения местного бюджета на основе сводной бюджетной росписи и кассового плана;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составление бюджетной отчетности на основании сводной бюджетной отчетности главных распорядителей, распорядителей, получателей бюджетных средств, главных администр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аторов, администраторов источников финансирования дефицита бюджета, главных администраторов, администраторов доходов бюджета.</w:t>
      </w:r>
    </w:p>
    <w:p w:rsidR="00AA44B9" w:rsidRDefault="00CB606C">
      <w:pPr>
        <w:spacing w:line="276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Бюджетная отчетность по состоянию на 01.01.2025 г. составлена в соответствии с приказом Министерства финансов РФ от 28.12.2010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РФ».</w:t>
      </w:r>
    </w:p>
    <w:p w:rsidR="00E975DC" w:rsidRDefault="00E975DC">
      <w:pPr>
        <w:spacing w:line="276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E975DC" w:rsidRDefault="00E975DC">
      <w:pPr>
        <w:spacing w:line="276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AA44B9" w:rsidRDefault="00CB606C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II. Результаты деятельности субъекта бюджетной отчетности.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Доходы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 управления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01.01.2025 г. сложились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198 317 700,00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числе: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дотации бюджетам муниципальных районов на выравнивание уровня бюджетной обеспеченности – 119 671 000,00 рублей;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дотации на поддержку мер по обеспечению сбалансированно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бюджета – 74 606 000,00 рублей;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субвенции бюджетам муниципальных районов на выполнение передаваемых полномочий субъектов РФ - 1 213 300,00 рублей;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межбюджетные трансферты, передаваемые бюджетам муниципальных районов 2 827 400,00 рублей;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лнение плана по доходам составило 100,0 %. 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Расходы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 управления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01.01.2025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45 295 048,05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или 99,9 % от плана.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Подраздел 0106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«Обеспечение деятельности финансовых, налоговых и таможенных органов и органов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финансового (финансово – бюджетного) надзора»: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 7 965 470,00 рублей, факт 7 959 146,25 рублей, исполнение - 99,9 %.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числе: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заработная плата: план 5 968 797,31 рублей, факт 5 968 499,54 рублей, исполнение – 99,9 %;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начисления на выплаты по опл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 труда: план 1 790 633,00 рублей, факт 1 790 406,85 рублей, исполнение – 99,9 %;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услуги связи: план 59 550,00 рублей, факт 53 750,78 рублей, исполнение 90,3%;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работы, услуги: план 48 938,00 рублей, факт 48 937,80 рублей, исполнение – 99,9 %;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пособия и компенсации персоналу в денежной форме: план 27 039,69 рублей, факт 27 039,69 рублей, исполнение – 100,0%;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другие экономические санкции: план 5 000,00 рублей, факт 5 000,00 рублей, исполнение – 100,0 %;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увеличение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стоимости основных средств: план 20 212,44 рублей, факт 20 212,44 рублей, исполнение – 100,0 %;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увеличение стоимости прочих материальных запасов: план 45 299,56 рублей, факт 45 299,14 рублей, исполнение – 99,9 %.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Подраздел 1301 «Обслуживание государствен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ного внутреннего и муниципального долга»: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составило 99,1 % (при плане 920,00 рублей факт составил 911,80 рублей). В данном подразделе отражены расходы на обслуживание муниципального долга - уплата процентов за пользование бюджетным кредитом. 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подразделу 1401 «Дотации на выравнивание бюджетной обеспеченности субъектов РФ и муниципальных образований»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отражена финансовая помощь поселениям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выравнивание уровня бюджетной обеспеченности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плана 35 845 300,00 рублей факт составил 35 845 300,00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блей, или 100,0%.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подразделу 1403 «Прочие межбюджетные трансферты общего характера»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 100,0 %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(план 1 489 690,00 рублей, факт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1 489 690,00 рублей).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egoe UI" w:eastAsia="Segoe UI" w:hAnsi="Segoe UI" w:cs="Segoe UI"/>
          <w:color w:val="000000"/>
          <w:sz w:val="20"/>
          <w:szCs w:val="20"/>
        </w:rPr>
        <w:t> 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III. Анализ отчета об исполнении бюджета субъектом бюджетной отчетно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сти.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реализации муниципальной программы «Управление муниципальными финансами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Смоленской области» исполнение составило 45 295 048,05 рублей, или 99,9 % от плана, в том числе по комплексам процессных меро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приятий: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комплекс процессных мероприятий «Обеспечение организационных условий для реализации муниципальной программы» - исполнение – 7 959 146,25 рублей - 99,9 %;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комплекс процессных мероприятий «Расходы на обслуживание муниципального долга» - исполнен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- 911,80 рублей - 99,1 %;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комплекс процессных мероприятий «Выравнивание бюджетной обеспеченности поселений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Смоленской области» - исполнение 35 845 300,00 рублей - 100,0 %;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комплекс процессных мероприятий «Обеспечение сбалансированн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 бюджетов» - исполнение – 1 489 690,00 рублей – 100,0 %.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Остатков целевых средств на 01.01.2025 г. нет.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IV. Анализ показателей бухгалтерской отчетности субъекта бюджетной отчетности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Балансовая стоимость основных средств Финансового 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состоянию на 01 января 2025 года составляет 910 509,00 рублей. В течение отчетного финансового года происходило поступление и выбытие основных средств. Поступило основных средств на сумму 20 212,44,00 рублей (приобретено учреждением), выбыло основных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редств на сумму 20 212,44 рублей (приняты на забалансовый учет). 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забалансовом учете на счете 21 «Основные средства в эксплуатации» по состоянию на 01.01.2025 года находятся основные средства стоимостью до 10 000,00 рублей включительно в сумме 219 312,1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 рублей. На забалансовом учете на счете 01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«Имущество, полученное в пользование», находятся основные средства (телефоны), переданные в пользование Министерством финансов Смоленской области в количестве 3-х единиц по условной цене 1 рубль за штуку.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Амортиз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 основных средств на 01.01.2025 года составила 910 509,00 рублей, или 100,0 % балансовой стоимости.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материальных запасов на 01.01.2025 года составило 45 299,56 рублей, выбытие 45 299,56 рублей (списаны на нужды учреждения при выдаче в экспл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уатацию). Остатка материальных запасов на счете 110500000 «Материальные запасы» на 01.01.2025 г. нет.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Незавершенных объектов капитального строительства, а также вложений в объекты недвижимого имущества на отчетную дату нет.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Ошибки прошлых лет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отчетном периоде не выявлены.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«Балансе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(ф.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503130) по строке 520 «Резервы предстоящих расходов» отражен остаток резерва на оплату неиспользованных отпусков в сумме 717 713,62 рублей.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Ф. 0503172 «Сведения о государственном (муниципальном) долге, предоставленных бюджетных кредитах»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2012 году из областного бюджета бюджету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Смоленской области был предоставлен бюджетный кредит на сумму 1 000 000,00 рублей согласно договору № 1/151 от 21.12.2012 года. В результате принятия решения о реструкт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уризации по соглашению № 19-р от 11.10.2016 г. были начислены проценты за рассрочку. По состоянию на 01.01.2025 г. остаток бюджетного кредита составляет 911 798,49 рублей. В 2024 году были начислены и уплачены проценты за пользование бюджетным кредитом в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умме 911,80 рублей.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Ф. 0503169 «Сведения по дебиторской и кредиторской задолженности».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Дебиторская задолженность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01.01.2025 года составила 484 430 000,00 рублей, из них долгосрочная задолженность – 274 450 000,00 рублей, в том числе: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1205510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 (расчеты по безвозмездным поступлениям текущего характера от других бюджетов бюджетной системы Российской Федерации) – 484 430 000,00 рублей – начисленные доходы в корреспонденции с кредитом счета 140149151 – доходы будущих периодов.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Кредиторская задо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лженность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01.01.2025 года составила 4 988,76 рублей, в том числе: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 счету 130221000 (расчеты по услугам связи) – 4 988,76 рублей – задолженность по услугам связи перед ПАО «Ростелеком» за декабрь 2024 г.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сведениях по кредиторской задолженности (ф.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0503169)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показана задолженность по счету 140140000 (доходы будущих периодов) в сумме 484 430 000,00 рублей, по счету 140160000 (резервы предстоящих расходов) в сумме 717 713,62 рублей.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V. Прочие вопросы деятельности субъекта бюджетной от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четности. 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составлением годовой бюджетной отчетности согласно приказам Финансового управления № 30 от 30.08.2024 г. «Об утверждении Порядка проведения инвентаризации активов и обязательств Финансового управления Администрации муниципального образован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Смоленской области» и № 31 от 30.08.2024 г. «Об утверждении Положения об инвентаризационной комиссии Финансового управления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Шумячский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Смоленской области» была проведена инвентаризация 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ущества, финансовых активов и обязательств, иных объектов бухгалтерского учета. Приказом начальника Финансового управления </w:t>
      </w:r>
      <w:r w:rsidR="00E975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33 от 29.10.2024 года для проведения инвентаризации в 2024 году была создана постоянно действующая комиссия. По результатам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вентаризации расхождений между данными бухгалтерского учета и фактическим наличием не выявлено. Признаков обесценения объектов нефинансовых активов не выявлено.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осуществлении ведомственного финансового контроля не представлены в связи с тем, чт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Финансовое управление не имеет подведомственных учреждений.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Рабочее место каждого сотрудника оборудовано компьютерной техникой с доступом в Интернет. Обновление компьютерной техники проводится по мере необходимости. Сохранность основных средств обеспечив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ается. Недостачи и порчи имущества в 2024 г. не выявлено. </w:t>
      </w:r>
    </w:p>
    <w:p w:rsidR="00AA44B9" w:rsidRDefault="00CB606C">
      <w:pPr>
        <w:spacing w:line="276" w:lineRule="auto"/>
        <w:ind w:firstLine="8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 аренды у Финансового управления нет.</w:t>
      </w:r>
    </w:p>
    <w:p w:rsidR="00AA44B9" w:rsidRDefault="00CB606C">
      <w:pPr>
        <w:spacing w:beforeAutospacing="1" w:afterAutospacing="1" w:line="276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годовой отчетности не представлены отчеты:</w:t>
      </w:r>
    </w:p>
    <w:p w:rsidR="00AA44B9" w:rsidRDefault="00CB606C">
      <w:pPr>
        <w:spacing w:beforeAutospacing="1" w:afterAutospacing="1" w:line="276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Сведения об изменении остатков валюты баланса (ф. 0503173);</w:t>
      </w:r>
    </w:p>
    <w:p w:rsidR="00AA44B9" w:rsidRDefault="00CB606C">
      <w:pPr>
        <w:spacing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Разделительный (ликвидационный)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</w:r>
      <w:hyperlink r:id="rId4" w:anchor="P16211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(ф. 0503230)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75DC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Сведения о целевых иностранных кредитах </w:t>
      </w:r>
      <w:hyperlink r:id="rId5" w:anchor="P13036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(ф. 0503167)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A44B9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Сведения о финансовых вложениях получателя бюджетных средств, администратора источников финансирования дефицита бюджета </w:t>
      </w:r>
      <w:hyperlink r:id="rId6" w:anchor="P14034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(ф. 0503171)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A44B9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</w:t>
      </w:r>
      <w:hyperlink r:id="rId7" w:anchor="P15128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(ф. 0503174)</w:t>
        </w:r>
      </w:hyperlink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;</w:t>
      </w:r>
    </w:p>
    <w:p w:rsidR="00AA44B9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Сведения об остатках денежных средств на счетах получателя бюджетных средств (средства во временном распоряжении)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>(ф. 0503178 СВ)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;</w:t>
      </w:r>
    </w:p>
    <w:p w:rsidR="00AA44B9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объектах незавершенного строительства, вложениях в объекты недвижимого имущества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(ф. 0503190);</w:t>
      </w:r>
    </w:p>
    <w:p w:rsidR="00E975DC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Сведения об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исполнении судебных решений по денежным обязательствам бюджета </w:t>
      </w:r>
      <w:hyperlink r:id="rId8" w:anchor="P16012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(ф. 0503296)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75DC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асшифровка дебиторской задолженности по расчетам по выданным авансам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(ф. 0503191);</w:t>
      </w:r>
    </w:p>
    <w:p w:rsidR="00E975DC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Расшифровка дебиторской задолженности по контрактным обязательствам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(ф. 0503192);</w:t>
      </w:r>
    </w:p>
    <w:p w:rsidR="00E975DC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Расшифровка дебиторской задолженности по субсидиям организациям 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ф. 0503193);</w:t>
      </w:r>
    </w:p>
    <w:p w:rsidR="00E975DC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Та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блица 1 "Сведения о направлениях деятельности";</w:t>
      </w:r>
    </w:p>
    <w:p w:rsidR="00E975DC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Таблица 13 "Анализ отчета об исполнении бюджета субъектом бюджетной отчетности";</w:t>
      </w:r>
    </w:p>
    <w:p w:rsidR="00E975DC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- Таблица 15 "Причины увеличения просроченной дебиторской задолженности. Причины увеличения просроченной кредиторской задолже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нности";</w:t>
      </w:r>
    </w:p>
    <w:p w:rsidR="00AA44B9" w:rsidRDefault="00CB606C" w:rsidP="00E975DC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отсутствием числовых показателей.</w:t>
      </w:r>
    </w:p>
    <w:tbl>
      <w:tblPr>
        <w:tblW w:w="10218" w:type="dxa"/>
        <w:tblInd w:w="96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0"/>
        <w:gridCol w:w="4716"/>
        <w:gridCol w:w="2332"/>
      </w:tblGrid>
      <w:tr w:rsidR="00AA44B9" w:rsidTr="00E975DC">
        <w:tc>
          <w:tcPr>
            <w:tcW w:w="3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Default="00CB60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Default="00CB60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Pr="00E975DC" w:rsidRDefault="00E975DC" w:rsidP="00E975D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97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Павлова Татьяна Владиславовна</w:t>
            </w:r>
          </w:p>
        </w:tc>
      </w:tr>
      <w:tr w:rsidR="00AA44B9" w:rsidTr="00E975DC">
        <w:trPr>
          <w:trHeight w:val="280"/>
        </w:trPr>
        <w:tc>
          <w:tcPr>
            <w:tcW w:w="3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Pr="00E975DC" w:rsidRDefault="00CB60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975DC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Pr="00E975DC" w:rsidRDefault="00CB60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975DC"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AA44B9" w:rsidTr="00E975DC">
        <w:trPr>
          <w:trHeight w:val="281"/>
        </w:trPr>
        <w:tc>
          <w:tcPr>
            <w:tcW w:w="3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Default="00CB60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  <w:r w:rsidR="00E975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бухгалтер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Default="00CB60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44B9" w:rsidRPr="00E975DC" w:rsidRDefault="00E975D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97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Зарецкая Елена Владимировна</w:t>
            </w:r>
          </w:p>
        </w:tc>
      </w:tr>
      <w:tr w:rsidR="00AA44B9" w:rsidTr="00E975DC">
        <w:trPr>
          <w:trHeight w:val="281"/>
        </w:trPr>
        <w:tc>
          <w:tcPr>
            <w:tcW w:w="3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Default="00AA44B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Pr="00E975DC" w:rsidRDefault="00CB60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975DC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Pr="00E975DC" w:rsidRDefault="00CB606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975DC"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AA44B9" w:rsidTr="00E975DC">
        <w:trPr>
          <w:trHeight w:val="449"/>
        </w:trPr>
        <w:tc>
          <w:tcPr>
            <w:tcW w:w="3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Default="00CB606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4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Default="00AA44B9">
            <w:pPr>
              <w:rPr>
                <w:sz w:val="24"/>
              </w:rPr>
            </w:pPr>
          </w:p>
        </w:tc>
        <w:tc>
          <w:tcPr>
            <w:tcW w:w="23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4B9" w:rsidRDefault="00AA44B9">
            <w:pPr>
              <w:rPr>
                <w:sz w:val="24"/>
              </w:rPr>
            </w:pPr>
          </w:p>
        </w:tc>
      </w:tr>
    </w:tbl>
    <w:p w:rsidR="00AA44B9" w:rsidRDefault="00CB606C"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 подписан электронной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Главный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бухгалтер(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Зарецкая Елена Владимировна, Сертификат: 0DC864ADB9320410FF61536419D52E0A, Действителен: с 13.01.2025 по 08.04.2026), Руководитель(Павлова Татьяна Владиславовна, Сертификат: 00B662130B7BB86B1E27263DB4817C90BB, Действителен: с 14.01.2025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09.04.2026)        </w:t>
      </w:r>
    </w:p>
    <w:sectPr w:rsidR="00AA44B9" w:rsidSect="00E975DC">
      <w:pgSz w:w="12240" w:h="15840"/>
      <w:pgMar w:top="851" w:right="851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4B9"/>
    <w:rsid w:val="00AA44B9"/>
    <w:rsid w:val="00CB606C"/>
    <w:rsid w:val="00E9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58B7"/>
  <w15:docId w15:val="{03D70A7B-10D8-4753-A220-CE1D8D0F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%25D0%25B3%25D0%25BE%25D0%25B4%25D0%25BE%25D0%25B2%25D0%25BE%25D0%25B9%2520%25D0%25B7%25D0%25B0%25202024\%25D0%25A4%25D0%25B8%25D0%25BD.%25D1%2583%25D0%25BF%25D1%2580\160%2520%25D0%25BD%25D0%25B0%252001.01.205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%25D0%25B3%25D0%25BE%25D0%25B4%25D0%25BE%25D0%25B2%25D0%25BE%25D0%25B9%2520%25D0%25B7%25D0%25B0%25202024\%25D0%25A4%25D0%25B8%25D0%25BD.%25D1%2583%25D0%25BF%25D1%2580\160%2520%25D0%25BD%25D0%25B0%252001.01.205.doc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%25D0%25B3%25D0%25BE%25D0%25B4%25D0%25BE%25D0%25B2%25D0%25BE%25D0%25B9%2520%25D0%25B7%25D0%25B0%25202024\%25D0%25A4%25D0%25B8%25D0%25BD.%25D1%2583%25D0%25BF%25D1%2580\160%2520%25D0%25BD%25D0%25B0%252001.01.205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E:\%25D0%25B3%25D0%25BE%25D0%25B4%25D0%25BE%25D0%25B2%25D0%25BE%25D0%25B9%2520%25D0%25B7%25D0%25B0%25202024\%25D0%25A4%25D0%25B8%25D0%25BD.%25D1%2583%25D0%25BF%25D1%2580\160%2520%25D0%25BD%25D0%25B0%252001.01.205.docx" TargetMode="External"/><Relationship Id="rId10" Type="http://schemas.openxmlformats.org/officeDocument/2006/relationships/image" Target="media/image2.png"/><Relationship Id="rId4" Type="http://schemas.openxmlformats.org/officeDocument/2006/relationships/hyperlink" Target="file:///E:\%25D0%25B3%25D0%25BE%25D0%25B4%25D0%25BE%25D0%25B2%25D0%25BE%25D0%25B9%2520%25D0%25B7%25D0%25B0%25202024\%25D0%25A4%25D0%25B8%25D0%25BD.%25D1%2583%25D0%25BF%25D1%2580\160%2520%25D0%25BD%25D0%25B0%252001.01.205.docx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2370</Words>
  <Characters>13510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sks-app-server/www-data</dc:creator>
  <cp:lastModifiedBy>USER</cp:lastModifiedBy>
  <cp:revision>2</cp:revision>
  <cp:lastPrinted>2025-02-25T07:31:00Z</cp:lastPrinted>
  <dcterms:created xsi:type="dcterms:W3CDTF">2025-02-25T07:33:00Z</dcterms:created>
  <dcterms:modified xsi:type="dcterms:W3CDTF">2025-02-25T07:33:00Z</dcterms:modified>
</cp:coreProperties>
</file>